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附件3：</w:t>
      </w:r>
    </w:p>
    <w:tbl>
      <w:tblPr>
        <w:tblStyle w:val="2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Theme="minorEastAsia"/>
                <w:sz w:val="36"/>
                <w:szCs w:val="36"/>
              </w:rPr>
            </w:pPr>
            <w:r>
              <w:rPr>
                <w:rFonts w:hint="eastAsia" w:ascii="黑体" w:hAnsi="黑体" w:eastAsiaTheme="minorEastAsia"/>
                <w:sz w:val="36"/>
                <w:szCs w:val="36"/>
              </w:rPr>
              <w:t>新闻传播学院权益委员会分工表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权益委员会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spacing w:line="360" w:lineRule="auto"/>
              <w:ind w:firstLine="420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负责维护全院学生权益的工作，包括：定期召开师生面对面活动，代表和维护同学的具体利益、收集对于学院章程的意见建议并进行修订、奖助学金评定工作、和学校以及其他兄弟学院权益委员会密切联系等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2022-05-12T12:26:43Z</dcterms:created>
  <dc:creator>胡宝云</dc:creator>
  <cp:lastModifiedBy>云果</cp:lastModifiedBy>
  <dcterms:modified xsi:type="dcterms:W3CDTF">2022-05-12T12:32:34Z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534F25667270427D87D14085E5E27709</vt:lpwstr>
  </property>
</Properties>
</file>